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B6" w:rsidRDefault="009277B6" w:rsidP="009277B6">
      <w:pPr>
        <w:pStyle w:val="Default"/>
        <w:tabs>
          <w:tab w:val="left" w:pos="5595"/>
        </w:tabs>
        <w:rPr>
          <w:b/>
          <w:caps/>
          <w:sz w:val="28"/>
          <w:szCs w:val="28"/>
        </w:rPr>
      </w:pPr>
    </w:p>
    <w:p w:rsidR="009277B6" w:rsidRDefault="009277B6" w:rsidP="009277B6">
      <w:pPr>
        <w:pStyle w:val="Default"/>
        <w:tabs>
          <w:tab w:val="left" w:pos="5595"/>
        </w:tabs>
        <w:rPr>
          <w:b/>
          <w:caps/>
          <w:sz w:val="28"/>
          <w:szCs w:val="28"/>
        </w:rPr>
      </w:pPr>
      <w:r w:rsidRPr="0038323E">
        <w:rPr>
          <w:b/>
          <w:caps/>
          <w:sz w:val="28"/>
          <w:szCs w:val="28"/>
        </w:rPr>
        <w:t>applicable laws, regulations and/or standards:</w:t>
      </w:r>
    </w:p>
    <w:p w:rsidR="009277B6" w:rsidRPr="00925F46" w:rsidRDefault="009277B6" w:rsidP="009277B6">
      <w:pPr>
        <w:pStyle w:val="Default"/>
        <w:tabs>
          <w:tab w:val="left" w:pos="5595"/>
        </w:tabs>
        <w:rPr>
          <w:b/>
          <w:caps/>
        </w:rPr>
      </w:pPr>
    </w:p>
    <w:p w:rsidR="009277B6" w:rsidRDefault="009277B6" w:rsidP="009277B6">
      <w:pPr>
        <w:pStyle w:val="Default"/>
        <w:tabs>
          <w:tab w:val="left" w:pos="5595"/>
        </w:tabs>
        <w:rPr>
          <w:b/>
        </w:rPr>
      </w:pPr>
      <w:r w:rsidRPr="0038323E">
        <w:rPr>
          <w:b/>
        </w:rPr>
        <w:t>Federal Laws:</w:t>
      </w:r>
    </w:p>
    <w:p w:rsidR="009277B6" w:rsidRPr="0010568F" w:rsidRDefault="009277B6" w:rsidP="009277B6">
      <w:pPr>
        <w:pStyle w:val="Default"/>
        <w:tabs>
          <w:tab w:val="left" w:pos="5595"/>
        </w:tabs>
        <w:rPr>
          <w:i/>
        </w:rPr>
      </w:pPr>
      <w:r w:rsidRPr="0010568F">
        <w:rPr>
          <w:i/>
        </w:rPr>
        <w:t>N/A</w:t>
      </w:r>
    </w:p>
    <w:p w:rsidR="009277B6" w:rsidRPr="0010568F" w:rsidRDefault="009277B6" w:rsidP="009277B6">
      <w:pPr>
        <w:pStyle w:val="Default"/>
        <w:tabs>
          <w:tab w:val="left" w:pos="5595"/>
        </w:tabs>
        <w:rPr>
          <w:i/>
        </w:rPr>
      </w:pPr>
    </w:p>
    <w:p w:rsidR="009277B6" w:rsidRDefault="009277B6" w:rsidP="009277B6">
      <w:pPr>
        <w:pStyle w:val="Default"/>
        <w:tabs>
          <w:tab w:val="left" w:pos="5595"/>
        </w:tabs>
        <w:rPr>
          <w:b/>
        </w:rPr>
      </w:pPr>
      <w:r w:rsidRPr="0038323E">
        <w:rPr>
          <w:b/>
        </w:rPr>
        <w:t>State Laws:</w:t>
      </w:r>
    </w:p>
    <w:p w:rsidR="009277B6" w:rsidRPr="00532894" w:rsidRDefault="00644857" w:rsidP="009277B6">
      <w:pPr>
        <w:pStyle w:val="Default"/>
        <w:tabs>
          <w:tab w:val="left" w:pos="5595"/>
        </w:tabs>
        <w:rPr>
          <w:i/>
        </w:rPr>
      </w:pPr>
      <w:hyperlink r:id="rId8" w:history="1">
        <w:r w:rsidR="009277B6" w:rsidRPr="00532894">
          <w:rPr>
            <w:rStyle w:val="Hyperlink"/>
            <w:i/>
          </w:rPr>
          <w:t>A.R.S. § 15-761</w:t>
        </w:r>
        <w:r w:rsidR="009277B6" w:rsidRPr="00532894">
          <w:rPr>
            <w:rStyle w:val="Hyperlink"/>
            <w:rFonts w:cs="Arial"/>
            <w:i/>
          </w:rPr>
          <w:t>. Definitions</w:t>
        </w:r>
      </w:hyperlink>
    </w:p>
    <w:p w:rsidR="00FD15E5" w:rsidRPr="00FD15E5" w:rsidRDefault="00644857" w:rsidP="00FD15E5">
      <w:pPr>
        <w:rPr>
          <w:i/>
          <w:color w:val="000000"/>
          <w:szCs w:val="24"/>
        </w:rPr>
      </w:pPr>
      <w:hyperlink r:id="rId9" w:history="1">
        <w:r w:rsidR="00FD15E5" w:rsidRPr="00FD15E5">
          <w:rPr>
            <w:rStyle w:val="Hyperlink"/>
            <w:i/>
            <w:szCs w:val="24"/>
          </w:rPr>
          <w:t>A.R.S. § 8-529. Children in Foster Care; Rights</w:t>
        </w:r>
      </w:hyperlink>
      <w:bookmarkStart w:id="0" w:name="_GoBack"/>
      <w:bookmarkEnd w:id="0"/>
    </w:p>
    <w:p w:rsidR="009277B6" w:rsidRPr="0038323E" w:rsidRDefault="009277B6" w:rsidP="009277B6">
      <w:pPr>
        <w:pStyle w:val="Default"/>
        <w:tabs>
          <w:tab w:val="left" w:pos="5595"/>
        </w:tabs>
        <w:rPr>
          <w:b/>
        </w:rPr>
      </w:pPr>
    </w:p>
    <w:p w:rsidR="009277B6" w:rsidRPr="0038323E" w:rsidRDefault="009277B6" w:rsidP="009277B6">
      <w:pPr>
        <w:pStyle w:val="Default"/>
        <w:tabs>
          <w:tab w:val="left" w:pos="5595"/>
        </w:tabs>
        <w:rPr>
          <w:b/>
        </w:rPr>
      </w:pPr>
      <w:r w:rsidRPr="0038323E">
        <w:rPr>
          <w:b/>
        </w:rPr>
        <w:t>Regulations:</w:t>
      </w:r>
    </w:p>
    <w:p w:rsidR="008836FE" w:rsidRPr="008836FE" w:rsidRDefault="00644857" w:rsidP="008836FE">
      <w:pPr>
        <w:rPr>
          <w:i/>
          <w:color w:val="000000"/>
          <w:szCs w:val="24"/>
        </w:rPr>
      </w:pPr>
      <w:hyperlink r:id="rId10" w:history="1">
        <w:proofErr w:type="gramStart"/>
        <w:r w:rsidR="00373769">
          <w:rPr>
            <w:rStyle w:val="Hyperlink"/>
            <w:i/>
            <w:szCs w:val="24"/>
          </w:rPr>
          <w:t>A.A.C. R9-20-203.</w:t>
        </w:r>
        <w:proofErr w:type="gramEnd"/>
        <w:r w:rsidR="00373769">
          <w:rPr>
            <w:rStyle w:val="Hyperlink"/>
            <w:i/>
            <w:szCs w:val="24"/>
          </w:rPr>
          <w:t xml:space="preserve"> Client Rights</w:t>
        </w:r>
      </w:hyperlink>
    </w:p>
    <w:p w:rsidR="008836FE" w:rsidRPr="008836FE" w:rsidRDefault="00644857" w:rsidP="008836FE">
      <w:pPr>
        <w:rPr>
          <w:i/>
          <w:color w:val="000000"/>
          <w:szCs w:val="24"/>
        </w:rPr>
      </w:pPr>
      <w:hyperlink r:id="rId11" w:history="1">
        <w:proofErr w:type="gramStart"/>
        <w:r w:rsidR="00373769">
          <w:rPr>
            <w:rStyle w:val="Hyperlink"/>
            <w:i/>
            <w:szCs w:val="24"/>
          </w:rPr>
          <w:t>A.A.C. R9-20-216.</w:t>
        </w:r>
        <w:proofErr w:type="gramEnd"/>
        <w:r w:rsidR="00373769">
          <w:rPr>
            <w:rStyle w:val="Hyperlink"/>
            <w:i/>
            <w:szCs w:val="24"/>
          </w:rPr>
          <w:t xml:space="preserve"> Emergency Safety Response</w:t>
        </w:r>
      </w:hyperlink>
    </w:p>
    <w:p w:rsidR="008836FE" w:rsidRPr="008836FE" w:rsidRDefault="00644857" w:rsidP="008836FE">
      <w:pPr>
        <w:rPr>
          <w:i/>
          <w:color w:val="000000"/>
          <w:szCs w:val="24"/>
        </w:rPr>
      </w:pPr>
      <w:hyperlink r:id="rId12" w:history="1">
        <w:proofErr w:type="gramStart"/>
        <w:r w:rsidR="00373769">
          <w:rPr>
            <w:rStyle w:val="Hyperlink"/>
            <w:i/>
            <w:szCs w:val="24"/>
          </w:rPr>
          <w:t>A.A.C. R9-20-404.</w:t>
        </w:r>
        <w:proofErr w:type="gramEnd"/>
        <w:r w:rsidR="00373769">
          <w:rPr>
            <w:rStyle w:val="Hyperlink"/>
            <w:i/>
            <w:szCs w:val="24"/>
          </w:rPr>
          <w:t xml:space="preserve"> Supplemental Requirements for an Agency that Provides Behavioral Health Services to Children</w:t>
        </w:r>
      </w:hyperlink>
    </w:p>
    <w:p w:rsidR="009277B6" w:rsidRDefault="009277B6" w:rsidP="009277B6">
      <w:pPr>
        <w:pStyle w:val="Default"/>
        <w:tabs>
          <w:tab w:val="left" w:pos="5595"/>
        </w:tabs>
        <w:rPr>
          <w:b/>
        </w:rPr>
      </w:pPr>
    </w:p>
    <w:p w:rsidR="007E5034" w:rsidRPr="00001F40" w:rsidRDefault="009277B6" w:rsidP="009277B6">
      <w:pPr>
        <w:pStyle w:val="Default"/>
        <w:tabs>
          <w:tab w:val="left" w:pos="5595"/>
        </w:tabs>
        <w:rPr>
          <w:b/>
        </w:rPr>
      </w:pPr>
      <w:r w:rsidRPr="0038323E">
        <w:rPr>
          <w:b/>
        </w:rPr>
        <w:t>COA Standards:</w:t>
      </w:r>
      <w:r>
        <w:rPr>
          <w:b/>
        </w:rPr>
        <w:t xml:space="preserve"> </w:t>
      </w:r>
    </w:p>
    <w:p w:rsidR="007E5034" w:rsidRDefault="00644857" w:rsidP="009277B6">
      <w:pPr>
        <w:pStyle w:val="Default"/>
        <w:tabs>
          <w:tab w:val="left" w:pos="5595"/>
        </w:tabs>
        <w:rPr>
          <w:i/>
        </w:rPr>
      </w:pPr>
      <w:hyperlink r:id="rId13" w:history="1">
        <w:r w:rsidR="007E5034" w:rsidRPr="007E5034">
          <w:rPr>
            <w:rStyle w:val="Hyperlink"/>
            <w:i/>
          </w:rPr>
          <w:t>BSM Introduction: Behavior Support and Management</w:t>
        </w:r>
      </w:hyperlink>
      <w:r w:rsidR="007E5034" w:rsidRPr="007E5034">
        <w:rPr>
          <w:i/>
        </w:rPr>
        <w:t xml:space="preserve"> </w:t>
      </w:r>
    </w:p>
    <w:p w:rsidR="007E5034" w:rsidRDefault="00644857" w:rsidP="009277B6">
      <w:pPr>
        <w:pStyle w:val="Default"/>
        <w:tabs>
          <w:tab w:val="left" w:pos="5595"/>
        </w:tabs>
        <w:rPr>
          <w:i/>
        </w:rPr>
      </w:pPr>
      <w:hyperlink r:id="rId14" w:history="1">
        <w:r w:rsidR="007E5034" w:rsidRPr="007E5034">
          <w:rPr>
            <w:rStyle w:val="Hyperlink"/>
            <w:i/>
          </w:rPr>
          <w:t>BSM 1: Philosophy and Organization Policy</w:t>
        </w:r>
      </w:hyperlink>
    </w:p>
    <w:p w:rsidR="007E5034" w:rsidRDefault="00644857" w:rsidP="009277B6">
      <w:pPr>
        <w:pStyle w:val="Default"/>
        <w:tabs>
          <w:tab w:val="left" w:pos="5595"/>
        </w:tabs>
        <w:rPr>
          <w:i/>
        </w:rPr>
      </w:pPr>
      <w:hyperlink r:id="rId15" w:history="1">
        <w:r w:rsidR="007E5034" w:rsidRPr="007E5034">
          <w:rPr>
            <w:rStyle w:val="Hyperlink"/>
            <w:i/>
          </w:rPr>
          <w:t>BSM 2: Behavior Support and Management Practices</w:t>
        </w:r>
      </w:hyperlink>
    </w:p>
    <w:p w:rsidR="007E5034" w:rsidRDefault="00644857" w:rsidP="009277B6">
      <w:pPr>
        <w:pStyle w:val="Default"/>
        <w:tabs>
          <w:tab w:val="left" w:pos="5595"/>
        </w:tabs>
        <w:rPr>
          <w:i/>
        </w:rPr>
      </w:pPr>
      <w:hyperlink r:id="rId16" w:history="1">
        <w:r w:rsidR="00001F40" w:rsidRPr="00001F40">
          <w:rPr>
            <w:rStyle w:val="Hyperlink"/>
            <w:i/>
          </w:rPr>
          <w:t>BSM 3: Safety Training</w:t>
        </w:r>
      </w:hyperlink>
    </w:p>
    <w:p w:rsidR="007E5034" w:rsidRDefault="00644857" w:rsidP="009277B6">
      <w:pPr>
        <w:pStyle w:val="Default"/>
        <w:tabs>
          <w:tab w:val="left" w:pos="5595"/>
        </w:tabs>
        <w:rPr>
          <w:i/>
        </w:rPr>
      </w:pPr>
      <w:hyperlink r:id="rId17" w:history="1">
        <w:r w:rsidR="00001F40" w:rsidRPr="00001F40">
          <w:rPr>
            <w:rStyle w:val="Hyperlink"/>
            <w:i/>
          </w:rPr>
          <w:t>BSM 4: Restrictive Behavior Management Intervention Training</w:t>
        </w:r>
      </w:hyperlink>
    </w:p>
    <w:p w:rsidR="007E5034" w:rsidRPr="00001F40" w:rsidRDefault="00990F69" w:rsidP="009277B6">
      <w:pPr>
        <w:pStyle w:val="Default"/>
        <w:tabs>
          <w:tab w:val="left" w:pos="5595"/>
        </w:tabs>
        <w:rPr>
          <w:rStyle w:val="Hyperlink"/>
          <w:i/>
        </w:rPr>
      </w:pPr>
      <w:r>
        <w:rPr>
          <w:i/>
        </w:rPr>
        <w:fldChar w:fldCharType="begin"/>
      </w:r>
      <w:r w:rsidR="00001F40">
        <w:rPr>
          <w:i/>
        </w:rPr>
        <w:instrText xml:space="preserve"> HYPERLINK "http://coanet.org/standard/bsm/5/" </w:instrText>
      </w:r>
      <w:r>
        <w:rPr>
          <w:i/>
        </w:rPr>
        <w:fldChar w:fldCharType="separate"/>
      </w:r>
      <w:r w:rsidR="00001F40" w:rsidRPr="00001F40">
        <w:rPr>
          <w:rStyle w:val="Hyperlink"/>
          <w:i/>
        </w:rPr>
        <w:t>BSM 5: Restrictive Behavior Management Interventions</w:t>
      </w:r>
    </w:p>
    <w:p w:rsidR="007E5034" w:rsidRDefault="00990F69" w:rsidP="009277B6">
      <w:pPr>
        <w:pStyle w:val="Default"/>
        <w:tabs>
          <w:tab w:val="left" w:pos="5595"/>
        </w:tabs>
        <w:rPr>
          <w:i/>
        </w:rPr>
      </w:pPr>
      <w:r>
        <w:rPr>
          <w:i/>
        </w:rPr>
        <w:fldChar w:fldCharType="end"/>
      </w:r>
      <w:hyperlink r:id="rId18" w:history="1">
        <w:r w:rsidR="00001F40" w:rsidRPr="00001F40">
          <w:rPr>
            <w:rStyle w:val="Hyperlink"/>
            <w:i/>
          </w:rPr>
          <w:t>BSM 6: Documentation and Debriefing</w:t>
        </w:r>
      </w:hyperlink>
    </w:p>
    <w:p w:rsidR="009277B6" w:rsidRPr="00FD15E5" w:rsidRDefault="009277B6" w:rsidP="00BC596D">
      <w:pPr>
        <w:pStyle w:val="Heading1"/>
        <w:jc w:val="left"/>
        <w:rPr>
          <w:rFonts w:ascii="Times New Roman" w:hAnsi="Times New Roman"/>
          <w:szCs w:val="24"/>
        </w:rPr>
      </w:pPr>
    </w:p>
    <w:p w:rsidR="00BC596D" w:rsidRPr="00BC596D" w:rsidRDefault="00BC596D" w:rsidP="00BC596D">
      <w:pPr>
        <w:pStyle w:val="Heading1"/>
        <w:jc w:val="left"/>
        <w:rPr>
          <w:rFonts w:ascii="Times New Roman" w:hAnsi="Times New Roman"/>
          <w:sz w:val="28"/>
          <w:szCs w:val="28"/>
        </w:rPr>
      </w:pPr>
      <w:r w:rsidRPr="00BC596D">
        <w:rPr>
          <w:rFonts w:ascii="Times New Roman" w:hAnsi="Times New Roman"/>
          <w:sz w:val="28"/>
          <w:szCs w:val="28"/>
        </w:rPr>
        <w:t xml:space="preserve">Policy: </w:t>
      </w:r>
    </w:p>
    <w:p w:rsidR="00BC596D" w:rsidRPr="00BC596D" w:rsidRDefault="00BC596D" w:rsidP="00BC596D">
      <w:pPr>
        <w:jc w:val="left"/>
      </w:pPr>
    </w:p>
    <w:p w:rsidR="00BC596D" w:rsidRPr="00BC596D" w:rsidRDefault="00BC596D" w:rsidP="00446369">
      <w:pPr>
        <w:jc w:val="left"/>
        <w:rPr>
          <w:szCs w:val="24"/>
        </w:rPr>
      </w:pPr>
      <w:r w:rsidRPr="00BC596D">
        <w:rPr>
          <w:szCs w:val="24"/>
        </w:rPr>
        <w:t>All children who are recipients of services from Arizona’s Children Association (AzCA) are entitled to and shall be treated with dignity and respect, in a culture that promotes healing and provides each child the support needed to manage his or her own behavior. AzCA’s policies and practices promote positive behavior and protect the safety of service recipients and staff. This policy is in addition to existing State regulations, rules and policies relating to behavior support and management.</w:t>
      </w:r>
    </w:p>
    <w:p w:rsidR="00BC596D" w:rsidRPr="00BC596D" w:rsidRDefault="00BC596D" w:rsidP="00446369">
      <w:pPr>
        <w:jc w:val="left"/>
        <w:rPr>
          <w:szCs w:val="24"/>
        </w:rPr>
      </w:pPr>
    </w:p>
    <w:p w:rsidR="00BC596D" w:rsidRPr="00BC596D" w:rsidRDefault="00BC596D" w:rsidP="00446369">
      <w:pPr>
        <w:jc w:val="left"/>
        <w:rPr>
          <w:szCs w:val="24"/>
        </w:rPr>
      </w:pPr>
      <w:r w:rsidRPr="00BC596D">
        <w:rPr>
          <w:szCs w:val="24"/>
        </w:rPr>
        <w:t xml:space="preserve">Arizona’s Children Association is committed to building the awareness of trauma informed practices and promoting and implementing these practices across programs statewide.  </w:t>
      </w:r>
      <w:r w:rsidRPr="00BC596D">
        <w:rPr>
          <w:szCs w:val="24"/>
        </w:rPr>
        <w:lastRenderedPageBreak/>
        <w:t>Techniques such as manual restraint, mechanical restraint, chemical restraint or seclusion, are strictly prohibited with all clients served. Furthermore, for the purpose of licensing foster homes, AzCA requires that all regular and therapeutic licensed foster families adhere to the AzCA Permissible Behavior Management Technique policy, not only with foster children, but with any child in their home.</w:t>
      </w:r>
    </w:p>
    <w:p w:rsidR="00BC596D" w:rsidRPr="00BC596D" w:rsidRDefault="00BC596D" w:rsidP="00BC596D">
      <w:pPr>
        <w:ind w:left="720"/>
        <w:jc w:val="left"/>
        <w:rPr>
          <w:szCs w:val="24"/>
        </w:rPr>
      </w:pPr>
    </w:p>
    <w:p w:rsidR="00BC596D" w:rsidRPr="00BC596D" w:rsidRDefault="00BC596D" w:rsidP="00446369">
      <w:pPr>
        <w:jc w:val="left"/>
      </w:pPr>
      <w:r w:rsidRPr="00BC596D">
        <w:rPr>
          <w:szCs w:val="24"/>
        </w:rPr>
        <w:t xml:space="preserve">Techniques utilized by all service providers at AzCA are rooted in trauma informed care (TIC) and are focused on the vulnerability of the client and the trauma reminders that can be reintroduced when services are delivered without an awareness of the impact of trauma. Below are some techniques designed to manage the surface behaviors often exhibited by children and </w:t>
      </w:r>
      <w:proofErr w:type="gramStart"/>
      <w:r w:rsidRPr="00BC596D">
        <w:rPr>
          <w:szCs w:val="24"/>
        </w:rPr>
        <w:t>adolescents.</w:t>
      </w:r>
      <w:proofErr w:type="gramEnd"/>
      <w:r w:rsidRPr="00BC596D">
        <w:rPr>
          <w:szCs w:val="24"/>
        </w:rPr>
        <w:t xml:space="preserve"> These intervention techniques are approved by AzCA for use in all programs and are individually determined and implemented, based on the assessment of the client and their designated targeted behaviors.</w:t>
      </w:r>
    </w:p>
    <w:p w:rsidR="00BC596D" w:rsidRPr="00BC596D" w:rsidRDefault="00BC596D" w:rsidP="00BC596D">
      <w:pPr>
        <w:jc w:val="left"/>
      </w:pPr>
    </w:p>
    <w:p w:rsidR="00BC596D" w:rsidRPr="00BC596D" w:rsidRDefault="00BC596D" w:rsidP="00BC596D">
      <w:pPr>
        <w:pStyle w:val="Heading1"/>
        <w:jc w:val="left"/>
        <w:rPr>
          <w:rFonts w:ascii="Times New Roman" w:hAnsi="Times New Roman"/>
        </w:rPr>
      </w:pPr>
      <w:r w:rsidRPr="00BC596D">
        <w:rPr>
          <w:rFonts w:ascii="Times New Roman" w:hAnsi="Times New Roman"/>
        </w:rPr>
        <w:t>Approved procedures/Practices</w:t>
      </w:r>
    </w:p>
    <w:p w:rsidR="00BC596D" w:rsidRPr="00BC596D" w:rsidRDefault="00BC596D" w:rsidP="00BC596D">
      <w:pPr>
        <w:jc w:val="left"/>
      </w:pPr>
    </w:p>
    <w:p w:rsidR="00BC596D" w:rsidRPr="00BC596D" w:rsidRDefault="00BC596D" w:rsidP="00BC596D">
      <w:pPr>
        <w:pStyle w:val="ListParagraph"/>
        <w:numPr>
          <w:ilvl w:val="0"/>
          <w:numId w:val="3"/>
        </w:numPr>
        <w:jc w:val="left"/>
      </w:pPr>
      <w:r w:rsidRPr="00BC596D">
        <w:t>Active Listening</w:t>
      </w:r>
    </w:p>
    <w:p w:rsidR="00BC596D" w:rsidRPr="00BC596D" w:rsidRDefault="00BC596D" w:rsidP="00BC596D">
      <w:pPr>
        <w:pStyle w:val="ListParagraph"/>
        <w:numPr>
          <w:ilvl w:val="0"/>
          <w:numId w:val="3"/>
        </w:numPr>
        <w:jc w:val="left"/>
      </w:pPr>
      <w:r w:rsidRPr="00BC596D">
        <w:t>Conflict Resolution</w:t>
      </w:r>
    </w:p>
    <w:p w:rsidR="00BC596D" w:rsidRPr="00BC596D" w:rsidRDefault="00BC596D" w:rsidP="00BC596D">
      <w:pPr>
        <w:pStyle w:val="ListParagraph"/>
        <w:numPr>
          <w:ilvl w:val="0"/>
          <w:numId w:val="3"/>
        </w:numPr>
        <w:jc w:val="left"/>
      </w:pPr>
      <w:r w:rsidRPr="00BC596D">
        <w:t>Consistent Routines</w:t>
      </w:r>
    </w:p>
    <w:p w:rsidR="00BC596D" w:rsidRPr="00BC596D" w:rsidRDefault="00BC596D" w:rsidP="00BC596D">
      <w:pPr>
        <w:pStyle w:val="ListParagraph"/>
        <w:numPr>
          <w:ilvl w:val="0"/>
          <w:numId w:val="3"/>
        </w:numPr>
        <w:jc w:val="left"/>
      </w:pPr>
      <w:r w:rsidRPr="00BC596D">
        <w:t>Directive Statements</w:t>
      </w:r>
    </w:p>
    <w:p w:rsidR="00BC596D" w:rsidRPr="00BC596D" w:rsidRDefault="00BC596D" w:rsidP="00BC596D">
      <w:pPr>
        <w:pStyle w:val="ListParagraph"/>
        <w:numPr>
          <w:ilvl w:val="0"/>
          <w:numId w:val="3"/>
        </w:numPr>
        <w:jc w:val="left"/>
      </w:pPr>
      <w:r w:rsidRPr="00BC596D">
        <w:t>Caring Gestures</w:t>
      </w:r>
    </w:p>
    <w:p w:rsidR="00BC596D" w:rsidRPr="00BC596D" w:rsidRDefault="00BC596D" w:rsidP="00BC596D">
      <w:pPr>
        <w:pStyle w:val="ListParagraph"/>
        <w:numPr>
          <w:ilvl w:val="0"/>
          <w:numId w:val="3"/>
        </w:numPr>
        <w:jc w:val="left"/>
      </w:pPr>
      <w:r w:rsidRPr="00BC596D">
        <w:t>Logical &amp; Natural Consequences</w:t>
      </w:r>
    </w:p>
    <w:p w:rsidR="00BC596D" w:rsidRPr="00BC596D" w:rsidRDefault="00BC596D" w:rsidP="00BC596D">
      <w:pPr>
        <w:pStyle w:val="ListParagraph"/>
        <w:numPr>
          <w:ilvl w:val="0"/>
          <w:numId w:val="3"/>
        </w:numPr>
        <w:jc w:val="left"/>
      </w:pPr>
      <w:r w:rsidRPr="00BC596D">
        <w:t>Prompting</w:t>
      </w:r>
    </w:p>
    <w:p w:rsidR="00BC596D" w:rsidRPr="00BC596D" w:rsidRDefault="00BC596D" w:rsidP="00BC596D">
      <w:pPr>
        <w:pStyle w:val="ListParagraph"/>
        <w:numPr>
          <w:ilvl w:val="0"/>
          <w:numId w:val="3"/>
        </w:numPr>
        <w:jc w:val="left"/>
      </w:pPr>
      <w:r w:rsidRPr="00BC596D">
        <w:t>Positive Reinforcement</w:t>
      </w:r>
    </w:p>
    <w:p w:rsidR="00BC596D" w:rsidRPr="00BC596D" w:rsidRDefault="00BC596D" w:rsidP="00BC596D">
      <w:pPr>
        <w:pStyle w:val="ListParagraph"/>
        <w:numPr>
          <w:ilvl w:val="0"/>
          <w:numId w:val="3"/>
        </w:numPr>
        <w:jc w:val="left"/>
      </w:pPr>
      <w:r w:rsidRPr="00BC596D">
        <w:t>Redirection</w:t>
      </w:r>
    </w:p>
    <w:p w:rsidR="00BC596D" w:rsidRPr="00BC596D" w:rsidRDefault="00BC596D" w:rsidP="00BC596D">
      <w:pPr>
        <w:ind w:left="720"/>
        <w:jc w:val="left"/>
      </w:pPr>
      <w:r w:rsidRPr="00BC596D">
        <w:t>Creating a Safe Environment AzCA provides parenting education that is geared towards improving parents’, including foster parents’, abilities in facilitating and promoting positive behaviors. We also provide psycho-education around the impact of trauma to caretakers/parents. TX 301.02 is shared with all foster parents, as a part of the licensing process and foster parents sign a Permissible Behavior Management agreement, prior to any ch</w:t>
      </w:r>
      <w:r>
        <w:t xml:space="preserve">ild being placed in their </w:t>
      </w:r>
      <w:r w:rsidRPr="00BC596D">
        <w:t>care.</w:t>
      </w:r>
    </w:p>
    <w:p w:rsidR="00BC596D" w:rsidRPr="00BC596D" w:rsidRDefault="00BC596D" w:rsidP="00BC596D">
      <w:pPr>
        <w:jc w:val="left"/>
      </w:pPr>
    </w:p>
    <w:p w:rsidR="00BC596D" w:rsidRPr="00BC596D" w:rsidRDefault="00BC596D" w:rsidP="00BC596D">
      <w:pPr>
        <w:pStyle w:val="Heading1"/>
        <w:jc w:val="left"/>
        <w:rPr>
          <w:rFonts w:ascii="Times New Roman" w:hAnsi="Times New Roman"/>
        </w:rPr>
      </w:pPr>
      <w:r w:rsidRPr="00BC596D">
        <w:rPr>
          <w:rFonts w:ascii="Times New Roman" w:hAnsi="Times New Roman"/>
        </w:rPr>
        <w:t>staff training</w:t>
      </w:r>
    </w:p>
    <w:p w:rsidR="00BC596D" w:rsidRPr="00BC596D" w:rsidRDefault="00BC596D" w:rsidP="00BC596D">
      <w:pPr>
        <w:jc w:val="left"/>
      </w:pPr>
    </w:p>
    <w:p w:rsidR="00BC596D" w:rsidRPr="00BC596D" w:rsidRDefault="00BC596D" w:rsidP="00446369">
      <w:pPr>
        <w:jc w:val="left"/>
      </w:pPr>
      <w:r w:rsidRPr="00BC596D">
        <w:t xml:space="preserve">Arizona’s Children Association has recognized Trauma Informed Care (TIC) training for all staff and foster parents as primary focus for the agency in our 5 year strategic plan, beginning in 2013.  </w:t>
      </w:r>
      <w:r w:rsidRPr="00BC596D">
        <w:lastRenderedPageBreak/>
        <w:t>AzCA has a subcommittee and representative of staff across all programs that meets monthly to discuss trauma informed service delivery and staff training.</w:t>
      </w:r>
    </w:p>
    <w:p w:rsidR="00BC596D" w:rsidRPr="00BC596D" w:rsidRDefault="00BC596D" w:rsidP="00446369">
      <w:pPr>
        <w:jc w:val="left"/>
      </w:pPr>
    </w:p>
    <w:p w:rsidR="00BC596D" w:rsidRPr="00BC596D" w:rsidRDefault="00BC596D" w:rsidP="00446369">
      <w:pPr>
        <w:jc w:val="left"/>
      </w:pPr>
      <w:r w:rsidRPr="00BC596D">
        <w:t>AzCA also trains staff and foster parents not only to prevent volatile situations but also how to effectively manage and de-escalate volatile situations. This is critical in creating a safe environment for families and staff.  Below is a list of some of the trainings used depending on position, program and type of foster care license.</w:t>
      </w:r>
    </w:p>
    <w:p w:rsidR="00BC596D" w:rsidRPr="00BC596D" w:rsidRDefault="00BC596D" w:rsidP="00BC596D">
      <w:pPr>
        <w:jc w:val="left"/>
      </w:pPr>
    </w:p>
    <w:p w:rsidR="00BC596D" w:rsidRPr="00BC596D" w:rsidRDefault="00BC596D" w:rsidP="00446369">
      <w:pPr>
        <w:pStyle w:val="ListParagraph"/>
        <w:numPr>
          <w:ilvl w:val="0"/>
          <w:numId w:val="4"/>
        </w:numPr>
        <w:ind w:left="1080"/>
        <w:jc w:val="left"/>
      </w:pPr>
      <w:r w:rsidRPr="00BC596D">
        <w:t>Effective Response to Crisis Intervention (</w:t>
      </w:r>
      <w:proofErr w:type="spellStart"/>
      <w:r w:rsidRPr="00BC596D">
        <w:t>Relias</w:t>
      </w:r>
      <w:proofErr w:type="spellEnd"/>
      <w:r w:rsidRPr="00BC596D">
        <w:t>, web-based training course)</w:t>
      </w:r>
    </w:p>
    <w:p w:rsidR="00BC596D" w:rsidRPr="00BC596D" w:rsidRDefault="00BC596D" w:rsidP="00446369">
      <w:pPr>
        <w:pStyle w:val="ListParagraph"/>
        <w:numPr>
          <w:ilvl w:val="0"/>
          <w:numId w:val="4"/>
        </w:numPr>
        <w:ind w:left="1080"/>
        <w:jc w:val="left"/>
      </w:pPr>
      <w:r w:rsidRPr="00BC596D">
        <w:t>Crisis Management (</w:t>
      </w:r>
      <w:proofErr w:type="spellStart"/>
      <w:r w:rsidRPr="00BC596D">
        <w:t>Relias</w:t>
      </w:r>
      <w:proofErr w:type="spellEnd"/>
      <w:r w:rsidRPr="00BC596D">
        <w:t>, web-based training course)</w:t>
      </w:r>
    </w:p>
    <w:p w:rsidR="00BC596D" w:rsidRPr="00BC596D" w:rsidRDefault="00BC596D" w:rsidP="00446369">
      <w:pPr>
        <w:pStyle w:val="ListParagraph"/>
        <w:numPr>
          <w:ilvl w:val="0"/>
          <w:numId w:val="4"/>
        </w:numPr>
        <w:ind w:left="1080"/>
        <w:jc w:val="left"/>
      </w:pPr>
      <w:r w:rsidRPr="00BC596D">
        <w:t>Calming Children in Crisis (</w:t>
      </w:r>
      <w:proofErr w:type="spellStart"/>
      <w:r w:rsidRPr="00BC596D">
        <w:t>Relias</w:t>
      </w:r>
      <w:proofErr w:type="spellEnd"/>
      <w:r w:rsidRPr="00BC596D">
        <w:t>, web-based training course)</w:t>
      </w:r>
    </w:p>
    <w:p w:rsidR="00BC596D" w:rsidRPr="00BC596D" w:rsidRDefault="00BC596D" w:rsidP="00446369">
      <w:pPr>
        <w:pStyle w:val="ListParagraph"/>
        <w:numPr>
          <w:ilvl w:val="0"/>
          <w:numId w:val="4"/>
        </w:numPr>
        <w:ind w:left="1080"/>
        <w:jc w:val="left"/>
      </w:pPr>
      <w:r w:rsidRPr="00BC596D">
        <w:t>De-escalation and Behavior Management (DEBM) (Required for all licensed therapeutic foster homes)</w:t>
      </w:r>
    </w:p>
    <w:p w:rsidR="00BC596D" w:rsidRPr="00BC596D" w:rsidRDefault="00BC596D" w:rsidP="00446369">
      <w:pPr>
        <w:pStyle w:val="ListParagraph"/>
        <w:numPr>
          <w:ilvl w:val="0"/>
          <w:numId w:val="4"/>
        </w:numPr>
        <w:ind w:left="1080"/>
        <w:jc w:val="left"/>
      </w:pPr>
      <w:r w:rsidRPr="00BC596D">
        <w:t>Therapeutic Crisis Intervention (TCI)</w:t>
      </w:r>
    </w:p>
    <w:p w:rsidR="00BC596D" w:rsidRPr="00BC596D" w:rsidRDefault="00BC596D" w:rsidP="00446369">
      <w:pPr>
        <w:pStyle w:val="ListParagraph"/>
        <w:numPr>
          <w:ilvl w:val="0"/>
          <w:numId w:val="4"/>
        </w:numPr>
        <w:ind w:left="1080"/>
        <w:jc w:val="left"/>
      </w:pPr>
      <w:r w:rsidRPr="00BC596D">
        <w:t>Core Curriculum on Childhood Trauma (CCCT from the National Child Traumatic Stress Network-NCTSN)</w:t>
      </w:r>
    </w:p>
    <w:p w:rsidR="00BC596D" w:rsidRPr="00BC596D" w:rsidRDefault="00BC596D" w:rsidP="00BC596D">
      <w:pPr>
        <w:jc w:val="left"/>
      </w:pPr>
    </w:p>
    <w:p w:rsidR="00BC596D" w:rsidRPr="00BC596D" w:rsidRDefault="00BC596D" w:rsidP="00BC596D">
      <w:pPr>
        <w:pStyle w:val="Heading1"/>
        <w:jc w:val="left"/>
        <w:rPr>
          <w:rFonts w:ascii="Times New Roman" w:hAnsi="Times New Roman"/>
        </w:rPr>
      </w:pPr>
      <w:r w:rsidRPr="00BC596D">
        <w:rPr>
          <w:rFonts w:ascii="Times New Roman" w:hAnsi="Times New Roman"/>
        </w:rPr>
        <w:t>Behavior Management plans</w:t>
      </w:r>
    </w:p>
    <w:p w:rsidR="00BC596D" w:rsidRPr="00BC596D" w:rsidRDefault="00BC596D" w:rsidP="00BC596D">
      <w:pPr>
        <w:jc w:val="left"/>
      </w:pPr>
    </w:p>
    <w:p w:rsidR="00205CD0" w:rsidRDefault="00BC596D" w:rsidP="00446369">
      <w:pPr>
        <w:jc w:val="left"/>
        <w:rPr>
          <w:szCs w:val="24"/>
        </w:rPr>
      </w:pPr>
      <w:r w:rsidRPr="00BC596D">
        <w:t>All children are screened for potential danger to self, others and level of intervention upon intake. The design and delivery of behavior management plans are detailed within applicable program plans and adhere to AzCA’s Permissible Behavior Management Techniques policy, as well as all e</w:t>
      </w:r>
      <w:r w:rsidRPr="00BC596D">
        <w:rPr>
          <w:szCs w:val="24"/>
        </w:rPr>
        <w:t>xisting State regulations, rules and policies relating to behavior support and management.</w:t>
      </w:r>
    </w:p>
    <w:p w:rsidR="00205CD0" w:rsidRDefault="00205CD0" w:rsidP="00BC596D">
      <w:pPr>
        <w:ind w:left="720"/>
        <w:jc w:val="left"/>
        <w:rPr>
          <w:szCs w:val="24"/>
        </w:rPr>
      </w:pPr>
    </w:p>
    <w:p w:rsidR="00BC596D" w:rsidRPr="00BC596D" w:rsidRDefault="00BC596D" w:rsidP="00205CD0">
      <w:pPr>
        <w:ind w:left="720"/>
        <w:jc w:val="center"/>
        <w:rPr>
          <w:position w:val="-8"/>
        </w:rPr>
      </w:pPr>
      <w:r w:rsidRPr="00BC596D">
        <w:rPr>
          <w:noProof/>
          <w:position w:val="-8"/>
        </w:rPr>
        <w:drawing>
          <wp:inline distT="0" distB="0" distL="0" distR="0">
            <wp:extent cx="123825" cy="172720"/>
            <wp:effectExtent l="0" t="0" r="9525" b="0"/>
            <wp:docPr id="4" name="Picture 1" descr="ACA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 Logo on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72720"/>
                    </a:xfrm>
                    <a:prstGeom prst="rect">
                      <a:avLst/>
                    </a:prstGeom>
                    <a:noFill/>
                    <a:ln>
                      <a:noFill/>
                    </a:ln>
                  </pic:spPr>
                </pic:pic>
              </a:graphicData>
            </a:graphic>
          </wp:inline>
        </w:drawing>
      </w:r>
    </w:p>
    <w:p w:rsidR="00BD74AE" w:rsidRPr="00BC596D" w:rsidRDefault="00BD74AE" w:rsidP="00BC596D">
      <w:pPr>
        <w:jc w:val="left"/>
      </w:pPr>
    </w:p>
    <w:sectPr w:rsidR="00BD74AE" w:rsidRPr="00BC596D" w:rsidSect="00BC596D">
      <w:headerReference w:type="default" r:id="rId20"/>
      <w:footerReference w:type="default" r:id="rId21"/>
      <w:pgSz w:w="12240" w:h="15840" w:code="1"/>
      <w:pgMar w:top="1080" w:right="1440" w:bottom="1440" w:left="1440" w:header="936"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EB" w:rsidRDefault="00274FEB" w:rsidP="00BC596D">
      <w:r>
        <w:separator/>
      </w:r>
    </w:p>
  </w:endnote>
  <w:endnote w:type="continuationSeparator" w:id="0">
    <w:p w:rsidR="00274FEB" w:rsidRDefault="00274FEB" w:rsidP="00BC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CA" w:rsidRPr="0060049F" w:rsidRDefault="00A60F90" w:rsidP="00B21B9C">
    <w:pPr>
      <w:rPr>
        <w:rFonts w:ascii="Arial" w:hAnsi="Arial" w:cs="Arial"/>
        <w:sz w:val="18"/>
        <w:szCs w:val="18"/>
      </w:rPr>
    </w:pPr>
    <w:r w:rsidRPr="0060049F">
      <w:rPr>
        <w:rFonts w:ascii="Arial" w:hAnsi="Arial" w:cs="Arial"/>
        <w:sz w:val="18"/>
        <w:szCs w:val="18"/>
      </w:rPr>
      <w:t xml:space="preserve">Page </w:t>
    </w:r>
    <w:r w:rsidR="00990F69" w:rsidRPr="0060049F">
      <w:rPr>
        <w:rStyle w:val="PageNumber"/>
        <w:rFonts w:ascii="Arial" w:hAnsi="Arial" w:cs="Arial"/>
        <w:sz w:val="18"/>
        <w:szCs w:val="18"/>
      </w:rPr>
      <w:fldChar w:fldCharType="begin"/>
    </w:r>
    <w:r w:rsidRPr="0060049F">
      <w:rPr>
        <w:rStyle w:val="PageNumber"/>
        <w:rFonts w:ascii="Arial" w:hAnsi="Arial" w:cs="Arial"/>
        <w:sz w:val="18"/>
        <w:szCs w:val="18"/>
      </w:rPr>
      <w:instrText xml:space="preserve"> PAGE </w:instrText>
    </w:r>
    <w:r w:rsidR="00990F69" w:rsidRPr="0060049F">
      <w:rPr>
        <w:rStyle w:val="PageNumber"/>
        <w:rFonts w:ascii="Arial" w:hAnsi="Arial" w:cs="Arial"/>
        <w:sz w:val="18"/>
        <w:szCs w:val="18"/>
      </w:rPr>
      <w:fldChar w:fldCharType="separate"/>
    </w:r>
    <w:r w:rsidR="00644857">
      <w:rPr>
        <w:rStyle w:val="PageNumber"/>
        <w:rFonts w:ascii="Arial" w:hAnsi="Arial" w:cs="Arial"/>
        <w:noProof/>
        <w:sz w:val="18"/>
        <w:szCs w:val="18"/>
      </w:rPr>
      <w:t>2</w:t>
    </w:r>
    <w:r w:rsidR="00990F69" w:rsidRPr="0060049F">
      <w:rPr>
        <w:rStyle w:val="PageNumber"/>
        <w:rFonts w:ascii="Arial" w:hAnsi="Arial" w:cs="Arial"/>
        <w:sz w:val="18"/>
        <w:szCs w:val="18"/>
      </w:rPr>
      <w:fldChar w:fldCharType="end"/>
    </w:r>
    <w:r w:rsidRPr="0060049F">
      <w:rPr>
        <w:rStyle w:val="PageNumber"/>
        <w:rFonts w:ascii="Arial" w:hAnsi="Arial" w:cs="Arial"/>
        <w:sz w:val="18"/>
        <w:szCs w:val="18"/>
      </w:rPr>
      <w:t xml:space="preserve"> of </w:t>
    </w:r>
    <w:r w:rsidR="00990F69" w:rsidRPr="0060049F">
      <w:rPr>
        <w:rStyle w:val="PageNumber"/>
        <w:rFonts w:ascii="Arial" w:hAnsi="Arial" w:cs="Arial"/>
        <w:sz w:val="18"/>
        <w:szCs w:val="18"/>
      </w:rPr>
      <w:fldChar w:fldCharType="begin"/>
    </w:r>
    <w:r w:rsidRPr="0060049F">
      <w:rPr>
        <w:rStyle w:val="PageNumber"/>
        <w:rFonts w:ascii="Arial" w:hAnsi="Arial" w:cs="Arial"/>
        <w:sz w:val="18"/>
        <w:szCs w:val="18"/>
      </w:rPr>
      <w:instrText xml:space="preserve"> NUMPAGES </w:instrText>
    </w:r>
    <w:r w:rsidR="00990F69" w:rsidRPr="0060049F">
      <w:rPr>
        <w:rStyle w:val="PageNumber"/>
        <w:rFonts w:ascii="Arial" w:hAnsi="Arial" w:cs="Arial"/>
        <w:sz w:val="18"/>
        <w:szCs w:val="18"/>
      </w:rPr>
      <w:fldChar w:fldCharType="separate"/>
    </w:r>
    <w:r w:rsidR="00644857">
      <w:rPr>
        <w:rStyle w:val="PageNumber"/>
        <w:rFonts w:ascii="Arial" w:hAnsi="Arial" w:cs="Arial"/>
        <w:noProof/>
        <w:sz w:val="18"/>
        <w:szCs w:val="18"/>
      </w:rPr>
      <w:t>3</w:t>
    </w:r>
    <w:r w:rsidR="00990F69" w:rsidRPr="0060049F">
      <w:rPr>
        <w:rStyle w:val="PageNumber"/>
        <w:rFonts w:ascii="Arial" w:hAnsi="Arial" w:cs="Arial"/>
        <w:sz w:val="18"/>
        <w:szCs w:val="18"/>
      </w:rPr>
      <w:fldChar w:fldCharType="end"/>
    </w:r>
    <w:r w:rsidRPr="0060049F">
      <w:rPr>
        <w:rStyle w:val="PageNumber"/>
        <w:rFonts w:ascii="Arial" w:hAnsi="Arial" w:cs="Arial"/>
        <w:sz w:val="18"/>
        <w:szCs w:val="18"/>
      </w:rPr>
      <w:tab/>
    </w:r>
    <w:r w:rsidRPr="000A2C14">
      <w:t xml:space="preserve"> </w:t>
    </w:r>
    <w:r w:rsidR="00BC596D">
      <w:tab/>
    </w:r>
    <w:r w:rsidR="00BC596D">
      <w:tab/>
    </w:r>
    <w:r w:rsidR="00BC596D">
      <w:tab/>
    </w:r>
    <w:r w:rsidR="00BC596D">
      <w:tab/>
    </w:r>
    <w:r w:rsidR="00BC596D">
      <w:tab/>
    </w:r>
    <w:r w:rsidR="00B21B9C">
      <w:tab/>
    </w:r>
    <w:r w:rsidR="00B21B9C">
      <w:tab/>
    </w:r>
    <w:r w:rsidR="00B21B9C">
      <w:tab/>
    </w:r>
    <w:r w:rsidRPr="008E2D52">
      <w:rPr>
        <w:sz w:val="20"/>
      </w:rPr>
      <w:t>Data/P&amp;P/</w:t>
    </w:r>
    <w:r w:rsidR="00B21B9C">
      <w:rPr>
        <w:sz w:val="20"/>
      </w:rPr>
      <w:t>CW</w:t>
    </w:r>
    <w:r w:rsidRPr="008E2D52">
      <w:rPr>
        <w:sz w:val="20"/>
      </w:rPr>
      <w:t xml:space="preserve"> 3</w:t>
    </w:r>
    <w:r w:rsidR="00B21B9C">
      <w:rPr>
        <w:sz w:val="2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EB" w:rsidRDefault="00274FEB" w:rsidP="00BC596D">
      <w:r>
        <w:separator/>
      </w:r>
    </w:p>
  </w:footnote>
  <w:footnote w:type="continuationSeparator" w:id="0">
    <w:p w:rsidR="00274FEB" w:rsidRDefault="00274FEB" w:rsidP="00BC5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C14" w:rsidRDefault="00644857" w:rsidP="000A2C14">
    <w:pPr>
      <w:jc w:val="center"/>
      <w:rPr>
        <w:sz w:val="20"/>
      </w:rPr>
    </w:pPr>
    <w:r>
      <w:rPr>
        <w:noProof/>
      </w:rPr>
      <w:pict>
        <v:shapetype id="_x0000_t202" coordsize="21600,21600" o:spt="202" path="m,l,21600r21600,l21600,xe">
          <v:stroke joinstyle="miter"/>
          <v:path gradientshapeok="t" o:connecttype="rect"/>
        </v:shapetype>
        <v:shape id="Text Box 3" o:spid="_x0000_s4097" type="#_x0000_t202" style="position:absolute;left:0;text-align:left;margin-left:225.75pt;margin-top:-13.5pt;width:33.9pt;height:3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" o:allowincell="f" filled="f" stroked="f">
          <v:textbox style="mso-fit-shape-to-text:t">
            <w:txbxContent>
              <w:bookmarkStart w:id="1" w:name="_MON_1456211275"/>
              <w:bookmarkEnd w:id="1"/>
              <w:p w:rsidR="000A2C14" w:rsidRDefault="00A60F90" w:rsidP="000A2C14">
                <w:r>
                  <w:object w:dxaOrig="31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7.75pt" o:ole="" fillcolor="window">
                      <v:imagedata r:id="rId1" o:title=""/>
                    </v:shape>
                    <o:OLEObject Type="Embed" ProgID="Word.Picture.8" ShapeID="_x0000_i1026" DrawAspect="Content" ObjectID="_1469880022" r:id="rId2"/>
                  </w:object>
                </w:r>
              </w:p>
            </w:txbxContent>
          </v:textbox>
        </v:shape>
      </w:pict>
    </w:r>
    <w:r w:rsidR="00A60F90">
      <w:rPr>
        <w:sz w:val="20"/>
      </w:rPr>
      <w:t xml:space="preserve">ARIZONA’S CHILDREN ASSOCIATION                </w:t>
    </w:r>
    <w:r w:rsidR="00A60F90">
      <w:rPr>
        <w:rFonts w:ascii="Arial" w:hAnsi="Arial"/>
        <w:sz w:val="20"/>
      </w:rPr>
      <w:t xml:space="preserve"> </w:t>
    </w:r>
    <w:r w:rsidR="00A60F90">
      <w:rPr>
        <w:sz w:val="20"/>
      </w:rPr>
      <w:t>POLICY &amp; PROCEDURE MANUAL</w:t>
    </w:r>
  </w:p>
  <w:p w:rsidR="000A2C14" w:rsidRPr="00FB2584" w:rsidRDefault="00644857" w:rsidP="000A2C14">
    <w:pPr>
      <w:jc w:val="center"/>
      <w:rPr>
        <w:sz w:val="20"/>
      </w:rPr>
    </w:pPr>
  </w:p>
  <w:tbl>
    <w:tblPr>
      <w:tblStyle w:val="TableGrid"/>
      <w:tblW w:w="9521" w:type="dxa"/>
      <w:jc w:val="center"/>
      <w:tblLayout w:type="fixed"/>
      <w:tblLook w:val="01E0" w:firstRow="1" w:lastRow="1" w:firstColumn="1" w:lastColumn="1" w:noHBand="0" w:noVBand="0"/>
    </w:tblPr>
    <w:tblGrid>
      <w:gridCol w:w="2099"/>
      <w:gridCol w:w="1648"/>
      <w:gridCol w:w="3173"/>
      <w:gridCol w:w="2601"/>
    </w:tblGrid>
    <w:tr w:rsidR="000A2C14" w:rsidTr="008E2D52">
      <w:trPr>
        <w:trHeight w:val="293"/>
        <w:jc w:val="center"/>
      </w:trPr>
      <w:tc>
        <w:tcPr>
          <w:tcW w:w="2100" w:type="dxa"/>
          <w:shd w:val="clear" w:color="auto" w:fill="E6E6E6"/>
        </w:tcPr>
        <w:p w:rsidR="000A2C14" w:rsidRPr="00A35211" w:rsidRDefault="00A60F90" w:rsidP="008E2D52">
          <w:pPr>
            <w:ind w:left="-108"/>
            <w:jc w:val="left"/>
            <w:rPr>
              <w:smallCaps/>
              <w:sz w:val="28"/>
              <w:szCs w:val="28"/>
            </w:rPr>
          </w:pPr>
          <w:r w:rsidRPr="00A35211">
            <w:rPr>
              <w:b/>
              <w:smallCaps/>
              <w:sz w:val="28"/>
              <w:szCs w:val="28"/>
            </w:rPr>
            <w:t xml:space="preserve">  </w:t>
          </w:r>
          <w:r>
            <w:rPr>
              <w:b/>
              <w:sz w:val="28"/>
              <w:szCs w:val="28"/>
            </w:rPr>
            <w:t>SUBJECT</w:t>
          </w:r>
          <w:r w:rsidRPr="00A35211">
            <w:rPr>
              <w:b/>
              <w:smallCaps/>
              <w:sz w:val="28"/>
              <w:szCs w:val="28"/>
            </w:rPr>
            <w:t xml:space="preserve">: </w:t>
          </w:r>
        </w:p>
      </w:tc>
      <w:tc>
        <w:tcPr>
          <w:tcW w:w="7421" w:type="dxa"/>
          <w:gridSpan w:val="3"/>
          <w:shd w:val="clear" w:color="auto" w:fill="auto"/>
        </w:tcPr>
        <w:p w:rsidR="000A2C14" w:rsidRPr="00A15CF9" w:rsidRDefault="00B21B9C" w:rsidP="008E2D52">
          <w:pPr>
            <w:jc w:val="left"/>
            <w:rPr>
              <w:b/>
              <w:sz w:val="28"/>
              <w:szCs w:val="28"/>
            </w:rPr>
          </w:pPr>
          <w:r>
            <w:rPr>
              <w:b/>
              <w:sz w:val="28"/>
              <w:szCs w:val="28"/>
            </w:rPr>
            <w:t>PROGRAM &amp; SERVICE REQUIREMENTS</w:t>
          </w:r>
        </w:p>
      </w:tc>
    </w:tr>
    <w:tr w:rsidR="000A2C14" w:rsidTr="008E2D52">
      <w:trPr>
        <w:trHeight w:val="293"/>
        <w:jc w:val="center"/>
      </w:trPr>
      <w:tc>
        <w:tcPr>
          <w:tcW w:w="3748" w:type="dxa"/>
          <w:gridSpan w:val="2"/>
          <w:shd w:val="clear" w:color="auto" w:fill="E6E6E6"/>
        </w:tcPr>
        <w:p w:rsidR="000A2C14" w:rsidRPr="00A35211" w:rsidRDefault="00A60F90" w:rsidP="008E2D52">
          <w:pPr>
            <w:jc w:val="left"/>
            <w:rPr>
              <w:b/>
              <w:smallCaps/>
              <w:sz w:val="28"/>
              <w:szCs w:val="28"/>
            </w:rPr>
          </w:pPr>
          <w:r>
            <w:rPr>
              <w:b/>
              <w:sz w:val="28"/>
              <w:szCs w:val="28"/>
            </w:rPr>
            <w:t>POLICY TITLE</w:t>
          </w:r>
          <w:r w:rsidRPr="00A35211">
            <w:rPr>
              <w:b/>
              <w:smallCaps/>
              <w:sz w:val="28"/>
              <w:szCs w:val="28"/>
            </w:rPr>
            <w:t>:</w:t>
          </w:r>
        </w:p>
      </w:tc>
      <w:tc>
        <w:tcPr>
          <w:tcW w:w="5773" w:type="dxa"/>
          <w:gridSpan w:val="2"/>
          <w:shd w:val="clear" w:color="auto" w:fill="auto"/>
        </w:tcPr>
        <w:p w:rsidR="000A2C14" w:rsidRPr="0005786A" w:rsidRDefault="00A60F90" w:rsidP="008E2D52">
          <w:pPr>
            <w:jc w:val="left"/>
            <w:rPr>
              <w:b/>
              <w:caps/>
              <w:smallCaps/>
              <w:sz w:val="28"/>
              <w:szCs w:val="28"/>
            </w:rPr>
          </w:pPr>
          <w:r>
            <w:rPr>
              <w:b/>
              <w:caps/>
              <w:sz w:val="28"/>
              <w:szCs w:val="28"/>
            </w:rPr>
            <w:t>PERMISSIBLE BEHAVIOR MANANAGEMENT TECHNIQUES</w:t>
          </w:r>
        </w:p>
      </w:tc>
    </w:tr>
    <w:tr w:rsidR="000A2C14" w:rsidTr="008E2D52">
      <w:trPr>
        <w:trHeight w:val="293"/>
        <w:jc w:val="center"/>
      </w:trPr>
      <w:tc>
        <w:tcPr>
          <w:tcW w:w="3748" w:type="dxa"/>
          <w:gridSpan w:val="2"/>
          <w:shd w:val="clear" w:color="auto" w:fill="E6E6E6"/>
        </w:tcPr>
        <w:p w:rsidR="000A2C14" w:rsidRPr="00A35211" w:rsidRDefault="00A60F90" w:rsidP="008E2D52">
          <w:pPr>
            <w:jc w:val="left"/>
            <w:rPr>
              <w:b/>
              <w:caps/>
              <w:sz w:val="28"/>
              <w:szCs w:val="28"/>
            </w:rPr>
          </w:pPr>
          <w:r w:rsidRPr="00A35211">
            <w:rPr>
              <w:b/>
              <w:caps/>
              <w:sz w:val="28"/>
              <w:szCs w:val="28"/>
            </w:rPr>
            <w:t>responsible Party:</w:t>
          </w:r>
        </w:p>
      </w:tc>
      <w:tc>
        <w:tcPr>
          <w:tcW w:w="5773" w:type="dxa"/>
          <w:gridSpan w:val="2"/>
          <w:shd w:val="clear" w:color="auto" w:fill="auto"/>
        </w:tcPr>
        <w:p w:rsidR="000A2C14" w:rsidRPr="00A35211" w:rsidRDefault="00A60F90" w:rsidP="008E2D52">
          <w:pPr>
            <w:jc w:val="left"/>
            <w:rPr>
              <w:b/>
              <w:caps/>
              <w:sz w:val="28"/>
              <w:szCs w:val="28"/>
            </w:rPr>
          </w:pPr>
          <w:r>
            <w:rPr>
              <w:b/>
              <w:caps/>
              <w:sz w:val="28"/>
              <w:szCs w:val="28"/>
            </w:rPr>
            <w:t>VP OF CHILD WELFARE AND VP OF BEHAVIOR HEALTH</w:t>
          </w:r>
        </w:p>
      </w:tc>
    </w:tr>
    <w:tr w:rsidR="000A2C14" w:rsidTr="008E2D52">
      <w:trPr>
        <w:trHeight w:val="293"/>
        <w:jc w:val="center"/>
      </w:trPr>
      <w:tc>
        <w:tcPr>
          <w:tcW w:w="2100" w:type="dxa"/>
          <w:shd w:val="clear" w:color="auto" w:fill="E6E6E6"/>
        </w:tcPr>
        <w:p w:rsidR="000A2C14" w:rsidRPr="00934B0A" w:rsidRDefault="00A60F90" w:rsidP="008E2D52">
          <w:pPr>
            <w:jc w:val="left"/>
            <w:rPr>
              <w:b/>
              <w:smallCaps/>
            </w:rPr>
          </w:pPr>
          <w:r>
            <w:rPr>
              <w:b/>
              <w:smallCaps/>
            </w:rPr>
            <w:t xml:space="preserve">     </w:t>
          </w:r>
          <w:r w:rsidRPr="00934B0A">
            <w:rPr>
              <w:b/>
              <w:smallCaps/>
            </w:rPr>
            <w:t>Policy #:</w:t>
          </w:r>
        </w:p>
      </w:tc>
      <w:tc>
        <w:tcPr>
          <w:tcW w:w="1648" w:type="dxa"/>
        </w:tcPr>
        <w:p w:rsidR="000A2C14" w:rsidRPr="00B10331" w:rsidRDefault="00B21B9C" w:rsidP="00B21B9C">
          <w:pPr>
            <w:jc w:val="center"/>
            <w:rPr>
              <w:b/>
            </w:rPr>
          </w:pPr>
          <w:r>
            <w:rPr>
              <w:b/>
              <w:smallCaps/>
            </w:rPr>
            <w:t>CW</w:t>
          </w:r>
          <w:r w:rsidR="00A60F90">
            <w:rPr>
              <w:b/>
              <w:smallCaps/>
            </w:rPr>
            <w:t xml:space="preserve"> 32</w:t>
          </w:r>
          <w:r>
            <w:rPr>
              <w:b/>
              <w:smallCaps/>
            </w:rPr>
            <w:t>0</w:t>
          </w:r>
        </w:p>
      </w:tc>
      <w:tc>
        <w:tcPr>
          <w:tcW w:w="3173" w:type="dxa"/>
          <w:shd w:val="clear" w:color="auto" w:fill="E6E6E6"/>
        </w:tcPr>
        <w:p w:rsidR="000A2C14" w:rsidRPr="00934B0A" w:rsidRDefault="00A60F90" w:rsidP="008E2D52">
          <w:pPr>
            <w:jc w:val="left"/>
            <w:rPr>
              <w:b/>
              <w:smallCaps/>
            </w:rPr>
          </w:pPr>
          <w:r w:rsidRPr="00934B0A">
            <w:rPr>
              <w:b/>
              <w:smallCaps/>
            </w:rPr>
            <w:t>Effective Date:</w:t>
          </w:r>
        </w:p>
      </w:tc>
      <w:tc>
        <w:tcPr>
          <w:tcW w:w="2600" w:type="dxa"/>
        </w:tcPr>
        <w:p w:rsidR="000A2C14" w:rsidRPr="00B21B9C" w:rsidRDefault="00B21B9C" w:rsidP="008E2D52">
          <w:pPr>
            <w:rPr>
              <w:b/>
              <w:smallCaps/>
              <w:sz w:val="28"/>
              <w:szCs w:val="28"/>
            </w:rPr>
          </w:pPr>
          <w:r w:rsidRPr="00B21B9C">
            <w:rPr>
              <w:b/>
              <w:smallCaps/>
              <w:sz w:val="28"/>
              <w:szCs w:val="28"/>
            </w:rPr>
            <w:t>09/96</w:t>
          </w:r>
        </w:p>
      </w:tc>
    </w:tr>
    <w:tr w:rsidR="000A2C14" w:rsidTr="008E2D52">
      <w:trPr>
        <w:trHeight w:val="293"/>
        <w:jc w:val="center"/>
      </w:trPr>
      <w:tc>
        <w:tcPr>
          <w:tcW w:w="2100" w:type="dxa"/>
          <w:shd w:val="clear" w:color="auto" w:fill="E6E6E6"/>
        </w:tcPr>
        <w:p w:rsidR="000A2C14" w:rsidRPr="0065615A" w:rsidRDefault="00A60F90" w:rsidP="008E2D52">
          <w:pPr>
            <w:jc w:val="left"/>
            <w:rPr>
              <w:b/>
              <w:smallCaps/>
              <w:sz w:val="22"/>
              <w:szCs w:val="22"/>
            </w:rPr>
          </w:pPr>
          <w:r w:rsidRPr="00934B0A">
            <w:rPr>
              <w:b/>
              <w:smallCaps/>
            </w:rPr>
            <w:t>#  Of Pages:</w:t>
          </w:r>
        </w:p>
      </w:tc>
      <w:tc>
        <w:tcPr>
          <w:tcW w:w="1648" w:type="dxa"/>
          <w:tcBorders>
            <w:bottom w:val="single" w:sz="4" w:space="0" w:color="auto"/>
          </w:tcBorders>
        </w:tcPr>
        <w:p w:rsidR="000A2C14" w:rsidRPr="00232BD5" w:rsidRDefault="00C94373" w:rsidP="008E2D52">
          <w:pPr>
            <w:jc w:val="center"/>
            <w:rPr>
              <w:smallCaps/>
              <w:sz w:val="22"/>
              <w:szCs w:val="22"/>
            </w:rPr>
          </w:pPr>
          <w:r>
            <w:rPr>
              <w:b/>
              <w:smallCaps/>
            </w:rPr>
            <w:t>03</w:t>
          </w:r>
        </w:p>
      </w:tc>
      <w:tc>
        <w:tcPr>
          <w:tcW w:w="3173" w:type="dxa"/>
          <w:tcBorders>
            <w:bottom w:val="single" w:sz="4" w:space="0" w:color="auto"/>
          </w:tcBorders>
          <w:shd w:val="clear" w:color="auto" w:fill="E6E6E6"/>
        </w:tcPr>
        <w:p w:rsidR="000A2C14" w:rsidRPr="00934B0A" w:rsidRDefault="00A60F90" w:rsidP="008E2D52">
          <w:pPr>
            <w:jc w:val="left"/>
            <w:rPr>
              <w:b/>
              <w:smallCaps/>
            </w:rPr>
          </w:pPr>
          <w:r w:rsidRPr="00934B0A">
            <w:rPr>
              <w:b/>
              <w:smallCaps/>
            </w:rPr>
            <w:t>Revision</w:t>
          </w:r>
          <w:r>
            <w:rPr>
              <w:b/>
              <w:smallCaps/>
            </w:rPr>
            <w:t>/Approval</w:t>
          </w:r>
          <w:r w:rsidRPr="00934B0A">
            <w:rPr>
              <w:b/>
              <w:smallCaps/>
            </w:rPr>
            <w:t xml:space="preserve"> Date:</w:t>
          </w:r>
        </w:p>
      </w:tc>
      <w:tc>
        <w:tcPr>
          <w:tcW w:w="2600" w:type="dxa"/>
          <w:tcBorders>
            <w:bottom w:val="single" w:sz="4" w:space="0" w:color="auto"/>
          </w:tcBorders>
        </w:tcPr>
        <w:p w:rsidR="000A2C14" w:rsidRPr="00B21B9C" w:rsidRDefault="00B21B9C" w:rsidP="008E2D52">
          <w:pPr>
            <w:rPr>
              <w:b/>
              <w:smallCaps/>
              <w:sz w:val="28"/>
              <w:szCs w:val="28"/>
            </w:rPr>
          </w:pPr>
          <w:r w:rsidRPr="00B21B9C">
            <w:rPr>
              <w:b/>
              <w:smallCaps/>
              <w:sz w:val="28"/>
              <w:szCs w:val="28"/>
            </w:rPr>
            <w:t>02/14</w:t>
          </w:r>
        </w:p>
      </w:tc>
    </w:tr>
    <w:tr w:rsidR="000A2C14" w:rsidTr="008E2D52">
      <w:trPr>
        <w:trHeight w:val="276"/>
        <w:jc w:val="center"/>
      </w:trPr>
      <w:tc>
        <w:tcPr>
          <w:tcW w:w="2099" w:type="dxa"/>
          <w:shd w:val="clear" w:color="auto" w:fill="E6E6E6"/>
        </w:tcPr>
        <w:p w:rsidR="000A2C14" w:rsidRPr="00934B0A" w:rsidRDefault="00A60F90" w:rsidP="008E2D52">
          <w:pPr>
            <w:jc w:val="left"/>
            <w:rPr>
              <w:b/>
              <w:smallCaps/>
            </w:rPr>
          </w:pPr>
          <w:r>
            <w:rPr>
              <w:b/>
              <w:smallCaps/>
            </w:rPr>
            <w:t xml:space="preserve"> </w:t>
          </w:r>
          <w:r w:rsidRPr="00934B0A">
            <w:rPr>
              <w:b/>
              <w:smallCaps/>
            </w:rPr>
            <w:t>Approved By:</w:t>
          </w:r>
          <w:r>
            <w:rPr>
              <w:b/>
              <w:smallCaps/>
            </w:rPr>
            <w:t xml:space="preserve">  </w:t>
          </w:r>
        </w:p>
      </w:tc>
      <w:tc>
        <w:tcPr>
          <w:tcW w:w="7422" w:type="dxa"/>
          <w:gridSpan w:val="3"/>
          <w:shd w:val="clear" w:color="auto" w:fill="auto"/>
        </w:tcPr>
        <w:p w:rsidR="000A2C14" w:rsidRPr="008F47A1" w:rsidRDefault="00644857" w:rsidP="008E2D52">
          <w:pPr>
            <w:rPr>
              <w:b/>
              <w:smallCaps/>
            </w:rPr>
          </w:pPr>
          <w:r>
            <w:rPr>
              <w:b/>
              <w:smallCaps/>
            </w:rPr>
            <w:t>Denise Ensdorff, President &amp; CEO</w:t>
          </w:r>
        </w:p>
      </w:tc>
    </w:tr>
  </w:tbl>
  <w:p w:rsidR="00A410CA" w:rsidRDefault="00644857">
    <w:pP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6A9E"/>
    <w:multiLevelType w:val="hybridMultilevel"/>
    <w:tmpl w:val="F1B0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A49C8"/>
    <w:multiLevelType w:val="hybridMultilevel"/>
    <w:tmpl w:val="5DBC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92332"/>
    <w:multiLevelType w:val="hybridMultilevel"/>
    <w:tmpl w:val="00D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63A02"/>
    <w:multiLevelType w:val="hybridMultilevel"/>
    <w:tmpl w:val="249A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BbQ5WHCUzLIAWBMa72+dffND+d0=" w:salt="1SgSQraMl8vThAkV7dSzcQ=="/>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BC596D"/>
    <w:rsid w:val="00001F40"/>
    <w:rsid w:val="00023E70"/>
    <w:rsid w:val="00024BB6"/>
    <w:rsid w:val="00205CD0"/>
    <w:rsid w:val="00274FEB"/>
    <w:rsid w:val="00373769"/>
    <w:rsid w:val="00446369"/>
    <w:rsid w:val="00644857"/>
    <w:rsid w:val="007D37E9"/>
    <w:rsid w:val="007E5034"/>
    <w:rsid w:val="008746D8"/>
    <w:rsid w:val="008836FE"/>
    <w:rsid w:val="009277B6"/>
    <w:rsid w:val="00990F69"/>
    <w:rsid w:val="00A60F90"/>
    <w:rsid w:val="00AB06E7"/>
    <w:rsid w:val="00B21B9C"/>
    <w:rsid w:val="00BC596D"/>
    <w:rsid w:val="00BD74AE"/>
    <w:rsid w:val="00C3043C"/>
    <w:rsid w:val="00C94373"/>
    <w:rsid w:val="00E93477"/>
    <w:rsid w:val="00FD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6D"/>
    <w:pPr>
      <w:spacing w:after="0" w:line="240" w:lineRule="auto"/>
      <w:jc w:val="both"/>
    </w:pPr>
    <w:rPr>
      <w:rFonts w:ascii="Times New Roman" w:eastAsia="Times New Roman" w:hAnsi="Times New Roman" w:cs="Times New Roman"/>
      <w:sz w:val="24"/>
      <w:szCs w:val="20"/>
    </w:rPr>
  </w:style>
  <w:style w:type="paragraph" w:styleId="Heading1">
    <w:name w:val="heading 1"/>
    <w:aliases w:val="Policy Header"/>
    <w:basedOn w:val="Normal"/>
    <w:next w:val="Normal"/>
    <w:link w:val="Heading1Char"/>
    <w:qFormat/>
    <w:rsid w:val="00BC596D"/>
    <w:pPr>
      <w:keepNext/>
      <w:tabs>
        <w:tab w:val="left" w:pos="468"/>
      </w:tabs>
      <w:outlineLvl w:val="0"/>
    </w:pPr>
    <w:rPr>
      <w:rFonts w:ascii="Arial Narrow" w:hAnsi="Arial Narrow"/>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6D"/>
    <w:pPr>
      <w:tabs>
        <w:tab w:val="center" w:pos="4680"/>
        <w:tab w:val="right" w:pos="9360"/>
      </w:tabs>
    </w:pPr>
  </w:style>
  <w:style w:type="character" w:customStyle="1" w:styleId="HeaderChar">
    <w:name w:val="Header Char"/>
    <w:basedOn w:val="DefaultParagraphFont"/>
    <w:link w:val="Header"/>
    <w:uiPriority w:val="99"/>
    <w:rsid w:val="00BC596D"/>
  </w:style>
  <w:style w:type="paragraph" w:styleId="Footer">
    <w:name w:val="footer"/>
    <w:basedOn w:val="Normal"/>
    <w:link w:val="FooterChar"/>
    <w:uiPriority w:val="99"/>
    <w:unhideWhenUsed/>
    <w:rsid w:val="00BC596D"/>
    <w:pPr>
      <w:tabs>
        <w:tab w:val="center" w:pos="4680"/>
        <w:tab w:val="right" w:pos="9360"/>
      </w:tabs>
    </w:pPr>
  </w:style>
  <w:style w:type="character" w:customStyle="1" w:styleId="FooterChar">
    <w:name w:val="Footer Char"/>
    <w:basedOn w:val="DefaultParagraphFont"/>
    <w:link w:val="Footer"/>
    <w:uiPriority w:val="99"/>
    <w:rsid w:val="00BC596D"/>
  </w:style>
  <w:style w:type="character" w:customStyle="1" w:styleId="Heading1Char">
    <w:name w:val="Heading 1 Char"/>
    <w:aliases w:val="Policy Header Char"/>
    <w:basedOn w:val="DefaultParagraphFont"/>
    <w:link w:val="Heading1"/>
    <w:rsid w:val="00BC596D"/>
    <w:rPr>
      <w:rFonts w:ascii="Arial Narrow" w:eastAsia="Times New Roman" w:hAnsi="Arial Narrow" w:cs="Times New Roman"/>
      <w:b/>
      <w:caps/>
      <w:sz w:val="24"/>
      <w:szCs w:val="20"/>
    </w:rPr>
  </w:style>
  <w:style w:type="character" w:styleId="PageNumber">
    <w:name w:val="page number"/>
    <w:basedOn w:val="DefaultParagraphFont"/>
    <w:rsid w:val="00BC596D"/>
  </w:style>
  <w:style w:type="table" w:styleId="TableGrid">
    <w:name w:val="Table Grid"/>
    <w:basedOn w:val="TableNormal"/>
    <w:rsid w:val="00BC596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96D"/>
    <w:rPr>
      <w:rFonts w:ascii="Tahoma" w:hAnsi="Tahoma" w:cs="Tahoma"/>
      <w:sz w:val="16"/>
      <w:szCs w:val="16"/>
    </w:rPr>
  </w:style>
  <w:style w:type="character" w:customStyle="1" w:styleId="BalloonTextChar">
    <w:name w:val="Balloon Text Char"/>
    <w:basedOn w:val="DefaultParagraphFont"/>
    <w:link w:val="BalloonText"/>
    <w:uiPriority w:val="99"/>
    <w:semiHidden/>
    <w:rsid w:val="00BC596D"/>
    <w:rPr>
      <w:rFonts w:ascii="Tahoma" w:eastAsia="Times New Roman" w:hAnsi="Tahoma" w:cs="Tahoma"/>
      <w:sz w:val="16"/>
      <w:szCs w:val="16"/>
    </w:rPr>
  </w:style>
  <w:style w:type="paragraph" w:styleId="ListParagraph">
    <w:name w:val="List Paragraph"/>
    <w:basedOn w:val="Normal"/>
    <w:uiPriority w:val="34"/>
    <w:qFormat/>
    <w:rsid w:val="00BC596D"/>
    <w:pPr>
      <w:ind w:left="720"/>
      <w:contextualSpacing/>
    </w:pPr>
  </w:style>
  <w:style w:type="paragraph" w:customStyle="1" w:styleId="Default">
    <w:name w:val="Default"/>
    <w:rsid w:val="009277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9277B6"/>
    <w:rPr>
      <w:color w:val="0000FF"/>
      <w:u w:val="single"/>
    </w:rPr>
  </w:style>
  <w:style w:type="character" w:styleId="FollowedHyperlink">
    <w:name w:val="FollowedHyperlink"/>
    <w:basedOn w:val="DefaultParagraphFont"/>
    <w:uiPriority w:val="99"/>
    <w:semiHidden/>
    <w:unhideWhenUsed/>
    <w:rsid w:val="00FD15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6D"/>
    <w:pPr>
      <w:spacing w:after="0" w:line="240" w:lineRule="auto"/>
      <w:jc w:val="both"/>
    </w:pPr>
    <w:rPr>
      <w:rFonts w:ascii="Times New Roman" w:eastAsia="Times New Roman" w:hAnsi="Times New Roman" w:cs="Times New Roman"/>
      <w:sz w:val="24"/>
      <w:szCs w:val="20"/>
    </w:rPr>
  </w:style>
  <w:style w:type="paragraph" w:styleId="Heading1">
    <w:name w:val="heading 1"/>
    <w:aliases w:val="Policy Header"/>
    <w:basedOn w:val="Normal"/>
    <w:next w:val="Normal"/>
    <w:link w:val="Heading1Char"/>
    <w:qFormat/>
    <w:rsid w:val="00BC596D"/>
    <w:pPr>
      <w:keepNext/>
      <w:tabs>
        <w:tab w:val="left" w:pos="468"/>
      </w:tabs>
      <w:outlineLvl w:val="0"/>
    </w:pPr>
    <w:rPr>
      <w:rFonts w:ascii="Arial Narrow" w:hAnsi="Arial Narrow"/>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6D"/>
    <w:pPr>
      <w:tabs>
        <w:tab w:val="center" w:pos="4680"/>
        <w:tab w:val="right" w:pos="9360"/>
      </w:tabs>
    </w:pPr>
  </w:style>
  <w:style w:type="character" w:customStyle="1" w:styleId="HeaderChar">
    <w:name w:val="Header Char"/>
    <w:basedOn w:val="DefaultParagraphFont"/>
    <w:link w:val="Header"/>
    <w:uiPriority w:val="99"/>
    <w:rsid w:val="00BC596D"/>
  </w:style>
  <w:style w:type="paragraph" w:styleId="Footer">
    <w:name w:val="footer"/>
    <w:basedOn w:val="Normal"/>
    <w:link w:val="FooterChar"/>
    <w:uiPriority w:val="99"/>
    <w:unhideWhenUsed/>
    <w:rsid w:val="00BC596D"/>
    <w:pPr>
      <w:tabs>
        <w:tab w:val="center" w:pos="4680"/>
        <w:tab w:val="right" w:pos="9360"/>
      </w:tabs>
    </w:pPr>
  </w:style>
  <w:style w:type="character" w:customStyle="1" w:styleId="FooterChar">
    <w:name w:val="Footer Char"/>
    <w:basedOn w:val="DefaultParagraphFont"/>
    <w:link w:val="Footer"/>
    <w:uiPriority w:val="99"/>
    <w:rsid w:val="00BC596D"/>
  </w:style>
  <w:style w:type="character" w:customStyle="1" w:styleId="Heading1Char">
    <w:name w:val="Heading 1 Char"/>
    <w:aliases w:val="Policy Header Char"/>
    <w:basedOn w:val="DefaultParagraphFont"/>
    <w:link w:val="Heading1"/>
    <w:rsid w:val="00BC596D"/>
    <w:rPr>
      <w:rFonts w:ascii="Arial Narrow" w:eastAsia="Times New Roman" w:hAnsi="Arial Narrow" w:cs="Times New Roman"/>
      <w:b/>
      <w:caps/>
      <w:sz w:val="24"/>
      <w:szCs w:val="20"/>
    </w:rPr>
  </w:style>
  <w:style w:type="character" w:styleId="PageNumber">
    <w:name w:val="page number"/>
    <w:basedOn w:val="DefaultParagraphFont"/>
    <w:rsid w:val="00BC596D"/>
  </w:style>
  <w:style w:type="table" w:styleId="TableGrid">
    <w:name w:val="Table Grid"/>
    <w:basedOn w:val="TableNormal"/>
    <w:rsid w:val="00BC596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96D"/>
    <w:rPr>
      <w:rFonts w:ascii="Tahoma" w:hAnsi="Tahoma" w:cs="Tahoma"/>
      <w:sz w:val="16"/>
      <w:szCs w:val="16"/>
    </w:rPr>
  </w:style>
  <w:style w:type="character" w:customStyle="1" w:styleId="BalloonTextChar">
    <w:name w:val="Balloon Text Char"/>
    <w:basedOn w:val="DefaultParagraphFont"/>
    <w:link w:val="BalloonText"/>
    <w:uiPriority w:val="99"/>
    <w:semiHidden/>
    <w:rsid w:val="00BC596D"/>
    <w:rPr>
      <w:rFonts w:ascii="Tahoma" w:eastAsia="Times New Roman" w:hAnsi="Tahoma" w:cs="Tahoma"/>
      <w:sz w:val="16"/>
      <w:szCs w:val="16"/>
    </w:rPr>
  </w:style>
  <w:style w:type="paragraph" w:styleId="ListParagraph">
    <w:name w:val="List Paragraph"/>
    <w:basedOn w:val="Normal"/>
    <w:uiPriority w:val="34"/>
    <w:qFormat/>
    <w:rsid w:val="00BC596D"/>
    <w:pPr>
      <w:ind w:left="720"/>
      <w:contextualSpacing/>
    </w:pPr>
  </w:style>
  <w:style w:type="paragraph" w:customStyle="1" w:styleId="Default">
    <w:name w:val="Default"/>
    <w:rsid w:val="009277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9277B6"/>
    <w:rPr>
      <w:color w:val="0000FF"/>
      <w:u w:val="single"/>
    </w:rPr>
  </w:style>
  <w:style w:type="character" w:styleId="FollowedHyperlink">
    <w:name w:val="FollowedHyperlink"/>
    <w:basedOn w:val="DefaultParagraphFont"/>
    <w:uiPriority w:val="99"/>
    <w:semiHidden/>
    <w:unhideWhenUsed/>
    <w:rsid w:val="00FD15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leg.state.az.us/FormatDocument.asp?inDoc=/ars/15/00761.htm&amp;Title=15&amp;DocType=ARS" TargetMode="External"/><Relationship Id="rId13" Type="http://schemas.openxmlformats.org/officeDocument/2006/relationships/hyperlink" Target="http://coanet.org/standard/bsm/" TargetMode="External"/><Relationship Id="rId18" Type="http://schemas.openxmlformats.org/officeDocument/2006/relationships/hyperlink" Target="http://coanet.org/standard/bsm/6/"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zsos.gov/public_services/Title_09/9-20.htm" TargetMode="External"/><Relationship Id="rId17" Type="http://schemas.openxmlformats.org/officeDocument/2006/relationships/hyperlink" Target="http://coanet.org/standard/bsm/4/" TargetMode="External"/><Relationship Id="rId2" Type="http://schemas.openxmlformats.org/officeDocument/2006/relationships/styles" Target="styles.xml"/><Relationship Id="rId16" Type="http://schemas.openxmlformats.org/officeDocument/2006/relationships/hyperlink" Target="http://coanet.org/standard/bsm/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zsos.gov/public_services/Title_09/9-20.htm" TargetMode="External"/><Relationship Id="rId5" Type="http://schemas.openxmlformats.org/officeDocument/2006/relationships/webSettings" Target="webSettings.xml"/><Relationship Id="rId15" Type="http://schemas.openxmlformats.org/officeDocument/2006/relationships/hyperlink" Target="http://coanet.org/standard/bsm/2/" TargetMode="External"/><Relationship Id="rId23" Type="http://schemas.openxmlformats.org/officeDocument/2006/relationships/theme" Target="theme/theme1.xml"/><Relationship Id="rId10" Type="http://schemas.openxmlformats.org/officeDocument/2006/relationships/hyperlink" Target="http://www.azsos.gov/public_services/Title_09/9-20.ht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zleg.gov/FormatDocument.asp?inDoc=/ars/8/00529.htm&amp;Title=8&amp;DocType=ARS" TargetMode="External"/><Relationship Id="rId14" Type="http://schemas.openxmlformats.org/officeDocument/2006/relationships/hyperlink" Target="http://coanet.org/standard/bsm/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Anderson-Maurus, Ovada</dc:creator>
  <cp:lastModifiedBy>Schmitt, Jacob</cp:lastModifiedBy>
  <cp:revision>5</cp:revision>
  <dcterms:created xsi:type="dcterms:W3CDTF">2014-04-23T23:14:00Z</dcterms:created>
  <dcterms:modified xsi:type="dcterms:W3CDTF">2014-08-18T22:13:00Z</dcterms:modified>
</cp:coreProperties>
</file>